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CF" w:rsidRDefault="004730CF" w:rsidP="007042B0">
      <w:pPr>
        <w:spacing w:after="0" w:line="240" w:lineRule="auto"/>
        <w:jc w:val="center"/>
        <w:rPr>
          <w:rFonts w:asciiTheme="majorHAnsi" w:hAnsiTheme="majorHAnsi" w:cstheme="majorHAnsi"/>
          <w:b/>
          <w:sz w:val="24"/>
          <w:szCs w:val="24"/>
        </w:rPr>
      </w:pPr>
    </w:p>
    <w:p w:rsidR="007042B0" w:rsidRPr="00187F26" w:rsidRDefault="00187F26" w:rsidP="007042B0">
      <w:pPr>
        <w:spacing w:after="0" w:line="240" w:lineRule="auto"/>
        <w:jc w:val="center"/>
        <w:rPr>
          <w:rFonts w:asciiTheme="majorHAnsi" w:hAnsiTheme="majorHAnsi" w:cstheme="majorHAnsi"/>
          <w:b/>
          <w:sz w:val="24"/>
          <w:szCs w:val="24"/>
        </w:rPr>
      </w:pPr>
      <w:r w:rsidRPr="00187F26">
        <w:rPr>
          <w:rFonts w:asciiTheme="majorHAnsi" w:hAnsiTheme="majorHAnsi" w:cstheme="majorHAnsi"/>
          <w:b/>
          <w:sz w:val="24"/>
          <w:szCs w:val="24"/>
        </w:rPr>
        <w:t xml:space="preserve">TEXTO APROBADO EN LA COMISIÓN PRIMERA DE LA HONORABLE CÁMARA DE REPRESENTANTES EN PRIMER DEBATE DEL </w:t>
      </w:r>
    </w:p>
    <w:p w:rsidR="004730CF" w:rsidRDefault="00187F26" w:rsidP="00187F26">
      <w:pPr>
        <w:spacing w:after="0" w:line="240" w:lineRule="auto"/>
        <w:jc w:val="center"/>
        <w:rPr>
          <w:rFonts w:asciiTheme="majorHAnsi" w:eastAsia="Arial" w:hAnsiTheme="majorHAnsi" w:cstheme="majorHAnsi"/>
          <w:b/>
          <w:sz w:val="24"/>
          <w:szCs w:val="24"/>
        </w:rPr>
      </w:pPr>
      <w:r w:rsidRPr="00187F26">
        <w:rPr>
          <w:rFonts w:asciiTheme="majorHAnsi" w:hAnsiTheme="majorHAnsi" w:cstheme="majorHAnsi"/>
          <w:b/>
          <w:sz w:val="24"/>
          <w:szCs w:val="24"/>
          <w:lang w:bidi="es-CO"/>
        </w:rPr>
        <w:t xml:space="preserve">PROYECTO DE LEY </w:t>
      </w:r>
      <w:r w:rsidRPr="00187F26">
        <w:rPr>
          <w:rFonts w:asciiTheme="majorHAnsi" w:eastAsia="Arial" w:hAnsiTheme="majorHAnsi" w:cstheme="majorHAnsi"/>
          <w:b/>
          <w:sz w:val="24"/>
          <w:szCs w:val="24"/>
        </w:rPr>
        <w:t xml:space="preserve">N° 217 DE 2024 CÁMARA – 128 DE 2023 SENADO ACUMULADO </w:t>
      </w:r>
    </w:p>
    <w:p w:rsidR="00187F26" w:rsidRPr="00187F26" w:rsidRDefault="00187F26" w:rsidP="00187F26">
      <w:pPr>
        <w:spacing w:after="0" w:line="240" w:lineRule="auto"/>
        <w:jc w:val="center"/>
        <w:rPr>
          <w:rFonts w:asciiTheme="majorHAnsi" w:hAnsiTheme="majorHAnsi" w:cstheme="majorHAnsi"/>
          <w:sz w:val="24"/>
          <w:szCs w:val="24"/>
        </w:rPr>
      </w:pPr>
      <w:r w:rsidRPr="00187F26">
        <w:rPr>
          <w:rFonts w:asciiTheme="majorHAnsi" w:eastAsia="Arial" w:hAnsiTheme="majorHAnsi" w:cstheme="majorHAnsi"/>
          <w:b/>
          <w:sz w:val="24"/>
          <w:szCs w:val="24"/>
        </w:rPr>
        <w:t>AL N° 057 DE 2023 SENADO</w:t>
      </w:r>
    </w:p>
    <w:p w:rsidR="00187F26" w:rsidRPr="00187F26" w:rsidRDefault="00187F26" w:rsidP="00DB22F4">
      <w:pPr>
        <w:spacing w:line="276" w:lineRule="auto"/>
        <w:jc w:val="center"/>
        <w:rPr>
          <w:rFonts w:asciiTheme="majorHAnsi" w:hAnsiTheme="majorHAnsi" w:cstheme="majorHAnsi"/>
          <w:b/>
          <w:sz w:val="24"/>
          <w:szCs w:val="24"/>
        </w:rPr>
      </w:pPr>
      <w:r w:rsidRPr="00187F26">
        <w:rPr>
          <w:rFonts w:asciiTheme="majorHAnsi" w:eastAsia="Arial" w:hAnsiTheme="majorHAnsi" w:cstheme="majorHAnsi"/>
          <w:b/>
          <w:sz w:val="24"/>
          <w:szCs w:val="24"/>
        </w:rPr>
        <w:t>“POR LA CUAL SE MODIFICA EL ARTÍCULO 687 DEL CÓDIGO CIVIL, SE INCLUYE EL NUMERAL 17 AL ARTÍCULO 594 DE LA LEY 1564 DE 2012 CÓDIGO GENERAL DEL PROCESO, SE INCORPORAN LOS ANIMALES DOMÉSTICOS DE COMPAÑÍA Y DE SOPORTE EMOCIONAL Y SE DECLARA SU INEMBARGABILIDAD”</w:t>
      </w:r>
    </w:p>
    <w:p w:rsidR="004730CF" w:rsidRDefault="004730CF" w:rsidP="00187F26">
      <w:pPr>
        <w:spacing w:line="360" w:lineRule="auto"/>
        <w:jc w:val="center"/>
        <w:rPr>
          <w:rFonts w:asciiTheme="majorHAnsi" w:hAnsiTheme="majorHAnsi" w:cstheme="majorHAnsi"/>
          <w:b/>
          <w:sz w:val="24"/>
          <w:szCs w:val="24"/>
        </w:rPr>
      </w:pPr>
    </w:p>
    <w:p w:rsidR="00187F26" w:rsidRPr="00187F26" w:rsidRDefault="00187F26" w:rsidP="00187F26">
      <w:pPr>
        <w:spacing w:line="360" w:lineRule="auto"/>
        <w:jc w:val="center"/>
        <w:rPr>
          <w:rFonts w:asciiTheme="majorHAnsi" w:hAnsiTheme="majorHAnsi" w:cstheme="majorHAnsi"/>
          <w:b/>
          <w:sz w:val="24"/>
          <w:szCs w:val="24"/>
        </w:rPr>
      </w:pPr>
      <w:r w:rsidRPr="00187F26">
        <w:rPr>
          <w:rFonts w:asciiTheme="majorHAnsi" w:hAnsiTheme="majorHAnsi" w:cstheme="majorHAnsi"/>
          <w:b/>
          <w:sz w:val="24"/>
          <w:szCs w:val="24"/>
        </w:rPr>
        <w:t>EL CONGRESO DE COLOMBIA</w:t>
      </w:r>
    </w:p>
    <w:p w:rsidR="00187F26" w:rsidRPr="00187F26" w:rsidRDefault="00187F26" w:rsidP="00187F26">
      <w:pPr>
        <w:spacing w:line="360" w:lineRule="auto"/>
        <w:jc w:val="center"/>
        <w:rPr>
          <w:rFonts w:asciiTheme="majorHAnsi" w:hAnsiTheme="majorHAnsi" w:cstheme="majorHAnsi"/>
          <w:b/>
          <w:sz w:val="24"/>
          <w:szCs w:val="24"/>
        </w:rPr>
      </w:pPr>
      <w:r w:rsidRPr="00187F26">
        <w:rPr>
          <w:rFonts w:asciiTheme="majorHAnsi" w:hAnsiTheme="majorHAnsi" w:cstheme="majorHAnsi"/>
          <w:b/>
          <w:sz w:val="24"/>
          <w:szCs w:val="24"/>
        </w:rPr>
        <w:t>DECRETA:</w:t>
      </w:r>
    </w:p>
    <w:p w:rsidR="00187F26" w:rsidRPr="00187F26" w:rsidRDefault="00187F26" w:rsidP="00187F26">
      <w:pPr>
        <w:spacing w:before="100" w:beforeAutospacing="1" w:after="100" w:afterAutospacing="1" w:line="360" w:lineRule="auto"/>
        <w:jc w:val="both"/>
        <w:rPr>
          <w:rFonts w:asciiTheme="majorHAnsi" w:hAnsiTheme="majorHAnsi" w:cstheme="majorHAnsi"/>
          <w:sz w:val="24"/>
          <w:szCs w:val="24"/>
        </w:rPr>
      </w:pPr>
      <w:r w:rsidRPr="00187F26">
        <w:rPr>
          <w:rStyle w:val="Textoennegrita"/>
          <w:rFonts w:asciiTheme="majorHAnsi" w:hAnsiTheme="majorHAnsi" w:cstheme="majorHAnsi"/>
          <w:sz w:val="24"/>
          <w:szCs w:val="24"/>
        </w:rPr>
        <w:t>Artículo 1º. Objeto:</w:t>
      </w:r>
      <w:r w:rsidRPr="00187F26">
        <w:rPr>
          <w:rFonts w:asciiTheme="majorHAnsi" w:hAnsiTheme="majorHAnsi" w:cstheme="majorHAnsi"/>
          <w:sz w:val="24"/>
          <w:szCs w:val="24"/>
        </w:rPr>
        <w:t xml:space="preserve"> La presente ley tiene por objeto modificar el artículo 687 del Código Civil y el artículo 594 del Código General del Proceso, con el fin de crear la subclase de animales domésticos de compañía y de soporte emocional y de declarar su </w:t>
      </w:r>
      <w:proofErr w:type="spellStart"/>
      <w:r w:rsidRPr="00187F26">
        <w:rPr>
          <w:rFonts w:asciiTheme="majorHAnsi" w:hAnsiTheme="majorHAnsi" w:cstheme="majorHAnsi"/>
          <w:sz w:val="24"/>
          <w:szCs w:val="24"/>
        </w:rPr>
        <w:t>inembargabilidad</w:t>
      </w:r>
      <w:proofErr w:type="spellEnd"/>
      <w:r w:rsidRPr="00187F26">
        <w:rPr>
          <w:rFonts w:asciiTheme="majorHAnsi" w:hAnsiTheme="majorHAnsi" w:cstheme="majorHAnsi"/>
          <w:sz w:val="24"/>
          <w:szCs w:val="24"/>
        </w:rPr>
        <w:t>, de tal forma que no puedan ser sustraídos de sus núcleos familiares producto del decreto de medidas cautelares impuestas dentro de procesos judiciales.</w:t>
      </w:r>
    </w:p>
    <w:p w:rsidR="00187F26" w:rsidRPr="00187F26"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b/>
          <w:bCs/>
          <w:sz w:val="24"/>
          <w:szCs w:val="24"/>
        </w:rPr>
        <w:t>Artículo 2º. Modifíquese el artículo 687 del Código Civil, Ley 84 de 1873, el cual quedará así:</w:t>
      </w:r>
    </w:p>
    <w:p w:rsidR="004C367F"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A93F0E">
        <w:rPr>
          <w:rFonts w:asciiTheme="majorHAnsi" w:eastAsia="Times New Roman" w:hAnsiTheme="majorHAnsi" w:cstheme="majorHAnsi"/>
          <w:b/>
          <w:sz w:val="24"/>
          <w:szCs w:val="24"/>
        </w:rPr>
        <w:t>Artículo 687. Animales bravíos, domésticos, domésticos de compañía y domesticados.</w:t>
      </w:r>
      <w:r w:rsidRPr="00187F26">
        <w:rPr>
          <w:rFonts w:asciiTheme="majorHAnsi" w:eastAsia="Times New Roman" w:hAnsiTheme="majorHAnsi" w:cstheme="majorHAnsi"/>
          <w:sz w:val="24"/>
          <w:szCs w:val="24"/>
        </w:rPr>
        <w:t xml:space="preserve"> Se llaman animales bravíos o salvajes los que viven naturalmente libres e independientes del hombre, como las fieras y los peces; domésticos, los que pertenecen a especies que viven ordinariamente bajo la dependencia del hombre, como las gallinas y las ovejas; domésticos de compañía los que han sido introducidos al núcleo familiar del ser humano y con los que se crean lazos afectivos, como los perros y los gatos, entre otros; domesticados los que, sin embargo de ser bravíos por su naturaleza, se han acostumbrado a la domesticidad, y reconocen de cierto modo el imperio del hombre; y </w:t>
      </w:r>
      <w:r w:rsidR="00DB22F4">
        <w:rPr>
          <w:rFonts w:asciiTheme="majorHAnsi" w:eastAsia="Times New Roman" w:hAnsiTheme="majorHAnsi" w:cstheme="majorHAnsi"/>
          <w:sz w:val="24"/>
          <w:szCs w:val="24"/>
        </w:rPr>
        <w:t>de soporte emocional, los que proporcionan alivio, ayuda y</w:t>
      </w:r>
      <w:r w:rsidRPr="00187F26">
        <w:rPr>
          <w:rFonts w:asciiTheme="majorHAnsi" w:eastAsia="Times New Roman" w:hAnsiTheme="majorHAnsi" w:cstheme="majorHAnsi"/>
          <w:sz w:val="24"/>
          <w:szCs w:val="24"/>
        </w:rPr>
        <w:t xml:space="preserve"> son necesarios para el bienestar y la salud mental de una persona, debidamente certificado por un profesional de la salud</w:t>
      </w:r>
      <w:r w:rsidR="006E2C22">
        <w:rPr>
          <w:rFonts w:asciiTheme="majorHAnsi" w:eastAsia="Times New Roman" w:hAnsiTheme="majorHAnsi" w:cstheme="majorHAnsi"/>
          <w:sz w:val="24"/>
          <w:szCs w:val="24"/>
        </w:rPr>
        <w:t xml:space="preserve"> mental debidamente </w:t>
      </w:r>
    </w:p>
    <w:p w:rsidR="004C367F" w:rsidRDefault="004C367F" w:rsidP="00187F26">
      <w:pPr>
        <w:spacing w:before="100" w:beforeAutospacing="1" w:after="100" w:afterAutospacing="1" w:line="360" w:lineRule="auto"/>
        <w:jc w:val="both"/>
        <w:rPr>
          <w:rFonts w:asciiTheme="majorHAnsi" w:eastAsia="Times New Roman" w:hAnsiTheme="majorHAnsi" w:cstheme="majorHAnsi"/>
          <w:sz w:val="24"/>
          <w:szCs w:val="24"/>
        </w:rPr>
      </w:pPr>
    </w:p>
    <w:p w:rsidR="00187F26" w:rsidRPr="00187F26" w:rsidRDefault="006E2C22" w:rsidP="00187F26">
      <w:pPr>
        <w:spacing w:before="100" w:beforeAutospacing="1" w:after="100" w:afterAutospacing="1" w:line="360" w:lineRule="auto"/>
        <w:jc w:val="both"/>
        <w:rPr>
          <w:rFonts w:asciiTheme="majorHAnsi" w:eastAsia="Times New Roman" w:hAnsiTheme="majorHAnsi" w:cstheme="majorHAnsi"/>
          <w:sz w:val="24"/>
          <w:szCs w:val="24"/>
        </w:rPr>
      </w:pPr>
      <w:bookmarkStart w:id="0" w:name="_GoBack"/>
      <w:bookmarkEnd w:id="0"/>
      <w:r>
        <w:rPr>
          <w:rFonts w:asciiTheme="majorHAnsi" w:eastAsia="Times New Roman" w:hAnsiTheme="majorHAnsi" w:cstheme="majorHAnsi"/>
          <w:sz w:val="24"/>
          <w:szCs w:val="24"/>
        </w:rPr>
        <w:t>registrado, se determine que su presencia y vínculo con una persona es necesario para el tratamiento, manejo o estabilización</w:t>
      </w:r>
      <w:r w:rsidR="004C367F">
        <w:rPr>
          <w:rFonts w:asciiTheme="majorHAnsi" w:eastAsia="Times New Roman" w:hAnsiTheme="majorHAnsi" w:cstheme="majorHAnsi"/>
          <w:sz w:val="24"/>
          <w:szCs w:val="24"/>
        </w:rPr>
        <w:t xml:space="preserve"> de una condición médica o de</w:t>
      </w:r>
      <w:r>
        <w:rPr>
          <w:rFonts w:asciiTheme="majorHAnsi" w:eastAsia="Times New Roman" w:hAnsiTheme="majorHAnsi" w:cstheme="majorHAnsi"/>
          <w:sz w:val="24"/>
          <w:szCs w:val="24"/>
        </w:rPr>
        <w:t xml:space="preserve"> salud mental documentada.</w:t>
      </w:r>
    </w:p>
    <w:p w:rsidR="00187F26" w:rsidRPr="00187F26" w:rsidRDefault="00DB22F4" w:rsidP="00187F26">
      <w:pPr>
        <w:spacing w:before="100" w:beforeAutospacing="1" w:after="100" w:afterAutospacing="1"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Los animales domesticados</w:t>
      </w:r>
      <w:r w:rsidR="00187F26" w:rsidRPr="00187F26">
        <w:rPr>
          <w:rFonts w:asciiTheme="majorHAnsi" w:eastAsia="Times New Roman" w:hAnsiTheme="majorHAnsi" w:cstheme="majorHAnsi"/>
          <w:sz w:val="24"/>
          <w:szCs w:val="24"/>
        </w:rPr>
        <w:t>, mientras conservan la costumbre de volver al amparo o dependencia del hombre, siguen la regla de los animales domésticos, y perdiendo esta costumbre vuelven a la clase de los animales bravíos.</w:t>
      </w:r>
    </w:p>
    <w:p w:rsidR="00187F26" w:rsidRPr="00187F26"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b/>
          <w:bCs/>
          <w:sz w:val="24"/>
          <w:szCs w:val="24"/>
        </w:rPr>
        <w:t>Parágrafo.</w:t>
      </w:r>
      <w:r w:rsidRPr="00187F26">
        <w:rPr>
          <w:rFonts w:asciiTheme="majorHAnsi" w:eastAsia="Times New Roman" w:hAnsiTheme="majorHAnsi" w:cstheme="majorHAnsi"/>
          <w:sz w:val="24"/>
          <w:szCs w:val="24"/>
        </w:rPr>
        <w:t xml:space="preserve"> No se entenderán como animales domésticos de compañía y de soporte emocional, los </w:t>
      </w:r>
      <w:proofErr w:type="gramStart"/>
      <w:r w:rsidRPr="00187F26">
        <w:rPr>
          <w:rFonts w:asciiTheme="majorHAnsi" w:eastAsia="Times New Roman" w:hAnsiTheme="majorHAnsi" w:cstheme="majorHAnsi"/>
          <w:sz w:val="24"/>
          <w:szCs w:val="24"/>
        </w:rPr>
        <w:t>considerados parte</w:t>
      </w:r>
      <w:proofErr w:type="gramEnd"/>
      <w:r w:rsidRPr="00187F26">
        <w:rPr>
          <w:rFonts w:asciiTheme="majorHAnsi" w:eastAsia="Times New Roman" w:hAnsiTheme="majorHAnsi" w:cstheme="majorHAnsi"/>
          <w:sz w:val="24"/>
          <w:szCs w:val="24"/>
        </w:rPr>
        <w:t xml:space="preserve"> de la fauna silvestre y exótica conforme lo establecido en la Ley 1333 de 2009 y el Título XI Ley 599 de 2000, Código Penal; ni respecto de los cuales se obtenga provecho económico.</w:t>
      </w:r>
    </w:p>
    <w:p w:rsidR="00187F26" w:rsidRPr="00187F26"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b/>
          <w:bCs/>
          <w:sz w:val="24"/>
          <w:szCs w:val="24"/>
        </w:rPr>
        <w:t>Artículo 3º.</w:t>
      </w:r>
      <w:r w:rsidRPr="00187F26">
        <w:rPr>
          <w:rFonts w:asciiTheme="majorHAnsi" w:eastAsia="Times New Roman" w:hAnsiTheme="majorHAnsi" w:cstheme="majorHAnsi"/>
          <w:sz w:val="24"/>
          <w:szCs w:val="24"/>
        </w:rPr>
        <w:t xml:space="preserve"> Adiciónese el numeral 17 al artículo 594 de la Ley 1564 de 2012, el cual quedará así:</w:t>
      </w:r>
    </w:p>
    <w:p w:rsidR="00187F26" w:rsidRPr="00187F26"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b/>
          <w:bCs/>
          <w:sz w:val="24"/>
          <w:szCs w:val="24"/>
        </w:rPr>
        <w:t>Artículo 594.</w:t>
      </w:r>
      <w:r w:rsidRPr="00187F26">
        <w:rPr>
          <w:rFonts w:asciiTheme="majorHAnsi" w:eastAsia="Times New Roman" w:hAnsiTheme="majorHAnsi" w:cstheme="majorHAnsi"/>
          <w:sz w:val="24"/>
          <w:szCs w:val="24"/>
        </w:rPr>
        <w:t xml:space="preserve"> Bienes inembargables. Además de los bienes inembargables señalados en la Constitución Política o en leyes especiales, no se podrán embargar:</w:t>
      </w:r>
    </w:p>
    <w:p w:rsidR="00187F26" w:rsidRPr="00187F26"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sz w:val="24"/>
          <w:szCs w:val="24"/>
        </w:rPr>
        <w:t>(…)</w:t>
      </w:r>
    </w:p>
    <w:p w:rsidR="00187F26" w:rsidRPr="00187F26" w:rsidRDefault="00187F26" w:rsidP="00187F26">
      <w:pPr>
        <w:numPr>
          <w:ilvl w:val="0"/>
          <w:numId w:val="31"/>
        </w:num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sz w:val="24"/>
          <w:szCs w:val="24"/>
        </w:rPr>
        <w:t>Los animales domésticos de compañía y de soporte emocional de los que trata el artículo 687 del Código Civil.</w:t>
      </w:r>
    </w:p>
    <w:p w:rsidR="00187F26" w:rsidRPr="00187F26"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sz w:val="24"/>
          <w:szCs w:val="24"/>
        </w:rPr>
        <w:t>(…)</w:t>
      </w:r>
    </w:p>
    <w:p w:rsidR="00187F26" w:rsidRPr="00187F26" w:rsidRDefault="00187F26" w:rsidP="00187F26">
      <w:pPr>
        <w:spacing w:before="100" w:beforeAutospacing="1" w:after="100" w:afterAutospacing="1" w:line="360" w:lineRule="auto"/>
        <w:jc w:val="both"/>
        <w:rPr>
          <w:rFonts w:asciiTheme="majorHAnsi" w:eastAsia="Times New Roman" w:hAnsiTheme="majorHAnsi" w:cstheme="majorHAnsi"/>
          <w:sz w:val="24"/>
          <w:szCs w:val="24"/>
        </w:rPr>
      </w:pPr>
      <w:r w:rsidRPr="00187F26">
        <w:rPr>
          <w:rFonts w:asciiTheme="majorHAnsi" w:eastAsia="Times New Roman" w:hAnsiTheme="majorHAnsi" w:cstheme="majorHAnsi"/>
          <w:b/>
          <w:bCs/>
          <w:sz w:val="24"/>
          <w:szCs w:val="24"/>
        </w:rPr>
        <w:t>Artículo 4º.</w:t>
      </w:r>
      <w:r w:rsidRPr="00187F26">
        <w:rPr>
          <w:rFonts w:asciiTheme="majorHAnsi" w:eastAsia="Times New Roman" w:hAnsiTheme="majorHAnsi" w:cstheme="majorHAnsi"/>
          <w:sz w:val="24"/>
          <w:szCs w:val="24"/>
        </w:rPr>
        <w:t xml:space="preserve"> La presente ley rige a partir de su sanción y posterior publicación.</w:t>
      </w:r>
    </w:p>
    <w:p w:rsidR="00F86683" w:rsidRPr="00187F26" w:rsidRDefault="00F86683" w:rsidP="00DD54E9">
      <w:pPr>
        <w:spacing w:after="0" w:line="240" w:lineRule="auto"/>
        <w:jc w:val="both"/>
        <w:rPr>
          <w:rFonts w:asciiTheme="majorHAnsi" w:hAnsiTheme="majorHAnsi" w:cstheme="majorHAnsi"/>
          <w:b/>
          <w:sz w:val="24"/>
          <w:szCs w:val="24"/>
          <w:lang w:bidi="es-CO"/>
        </w:rPr>
      </w:pPr>
    </w:p>
    <w:p w:rsidR="00F86683" w:rsidRPr="00187F26" w:rsidRDefault="00F86683" w:rsidP="00DD54E9">
      <w:pPr>
        <w:spacing w:after="0" w:line="240" w:lineRule="auto"/>
        <w:jc w:val="both"/>
        <w:rPr>
          <w:rFonts w:asciiTheme="majorHAnsi" w:hAnsiTheme="majorHAnsi" w:cstheme="majorHAnsi"/>
          <w:b/>
          <w:sz w:val="24"/>
          <w:szCs w:val="24"/>
          <w:lang w:bidi="es-CO"/>
        </w:rPr>
      </w:pPr>
    </w:p>
    <w:p w:rsidR="00F86683" w:rsidRPr="00187F26" w:rsidRDefault="00F86683" w:rsidP="00DD54E9">
      <w:pPr>
        <w:spacing w:after="0" w:line="240" w:lineRule="auto"/>
        <w:jc w:val="both"/>
        <w:rPr>
          <w:rFonts w:asciiTheme="majorHAnsi" w:hAnsiTheme="majorHAnsi" w:cstheme="majorHAnsi"/>
          <w:b/>
          <w:sz w:val="24"/>
          <w:szCs w:val="24"/>
          <w:lang w:bidi="es-CO"/>
        </w:rPr>
      </w:pPr>
    </w:p>
    <w:p w:rsidR="00F86683" w:rsidRPr="00187F26" w:rsidRDefault="00F86683" w:rsidP="00DD54E9">
      <w:pPr>
        <w:spacing w:after="0" w:line="240" w:lineRule="auto"/>
        <w:jc w:val="both"/>
        <w:rPr>
          <w:rFonts w:asciiTheme="majorHAnsi" w:hAnsiTheme="majorHAnsi" w:cstheme="majorHAnsi"/>
          <w:b/>
          <w:sz w:val="24"/>
          <w:szCs w:val="24"/>
          <w:lang w:bidi="es-CO"/>
        </w:rPr>
      </w:pPr>
    </w:p>
    <w:p w:rsidR="00F86683" w:rsidRPr="00187F26" w:rsidRDefault="00F86683" w:rsidP="00DD54E9">
      <w:pPr>
        <w:spacing w:after="0" w:line="240" w:lineRule="auto"/>
        <w:jc w:val="both"/>
        <w:rPr>
          <w:rFonts w:asciiTheme="majorHAnsi" w:hAnsiTheme="majorHAnsi" w:cstheme="majorHAnsi"/>
          <w:b/>
          <w:sz w:val="24"/>
          <w:szCs w:val="24"/>
          <w:lang w:bidi="es-CO"/>
        </w:rPr>
      </w:pPr>
    </w:p>
    <w:p w:rsidR="004730CF" w:rsidRDefault="004730CF" w:rsidP="00DD54E9">
      <w:pPr>
        <w:tabs>
          <w:tab w:val="left" w:pos="4820"/>
        </w:tabs>
        <w:spacing w:after="0" w:line="240" w:lineRule="auto"/>
        <w:jc w:val="both"/>
        <w:rPr>
          <w:rFonts w:asciiTheme="majorHAnsi" w:eastAsia="Century Gothic" w:hAnsiTheme="majorHAnsi" w:cstheme="majorHAnsi"/>
          <w:sz w:val="24"/>
          <w:szCs w:val="24"/>
          <w:highlight w:val="white"/>
        </w:rPr>
      </w:pPr>
    </w:p>
    <w:p w:rsidR="00C7658D" w:rsidRPr="00187F26" w:rsidRDefault="00210E09" w:rsidP="00DD54E9">
      <w:pPr>
        <w:tabs>
          <w:tab w:val="left" w:pos="4820"/>
        </w:tabs>
        <w:spacing w:after="0" w:line="240" w:lineRule="auto"/>
        <w:jc w:val="both"/>
        <w:rPr>
          <w:rFonts w:asciiTheme="majorHAnsi" w:eastAsia="Century Gothic" w:hAnsiTheme="majorHAnsi" w:cstheme="majorHAnsi"/>
          <w:sz w:val="24"/>
          <w:szCs w:val="24"/>
          <w:highlight w:val="white"/>
        </w:rPr>
      </w:pPr>
      <w:r w:rsidRPr="00187F26">
        <w:rPr>
          <w:rFonts w:asciiTheme="majorHAnsi" w:eastAsia="Century Gothic" w:hAnsiTheme="majorHAnsi" w:cstheme="majorHAnsi"/>
          <w:sz w:val="24"/>
          <w:szCs w:val="24"/>
          <w:highlight w:val="white"/>
        </w:rPr>
        <w:t>E</w:t>
      </w:r>
      <w:r w:rsidR="00C7658D" w:rsidRPr="00187F26">
        <w:rPr>
          <w:rFonts w:asciiTheme="majorHAnsi" w:eastAsia="Century Gothic" w:hAnsiTheme="majorHAnsi" w:cstheme="majorHAnsi"/>
          <w:sz w:val="24"/>
          <w:szCs w:val="24"/>
          <w:highlight w:val="white"/>
        </w:rPr>
        <w:t xml:space="preserve">n los anteriores términos fue aprobado </w:t>
      </w:r>
      <w:r w:rsidR="00D06595" w:rsidRPr="00187F26">
        <w:rPr>
          <w:rFonts w:asciiTheme="majorHAnsi" w:eastAsia="Century Gothic" w:hAnsiTheme="majorHAnsi" w:cstheme="majorHAnsi"/>
          <w:sz w:val="24"/>
          <w:szCs w:val="24"/>
          <w:highlight w:val="white"/>
        </w:rPr>
        <w:t>co</w:t>
      </w:r>
      <w:r w:rsidR="00C7658D" w:rsidRPr="00187F26">
        <w:rPr>
          <w:rFonts w:asciiTheme="majorHAnsi" w:eastAsia="Century Gothic" w:hAnsiTheme="majorHAnsi" w:cstheme="majorHAnsi"/>
          <w:sz w:val="24"/>
          <w:szCs w:val="24"/>
          <w:highlight w:val="white"/>
        </w:rPr>
        <w:t>n modificaciones en primer debate el presente Pro</w:t>
      </w:r>
      <w:r w:rsidR="00DE1E0A" w:rsidRPr="00187F26">
        <w:rPr>
          <w:rFonts w:asciiTheme="majorHAnsi" w:eastAsia="Century Gothic" w:hAnsiTheme="majorHAnsi" w:cstheme="majorHAnsi"/>
          <w:sz w:val="24"/>
          <w:szCs w:val="24"/>
          <w:highlight w:val="white"/>
        </w:rPr>
        <w:t>yecto de Ley, según consta en</w:t>
      </w:r>
      <w:r w:rsidR="00C7658D" w:rsidRPr="00187F26">
        <w:rPr>
          <w:rFonts w:asciiTheme="majorHAnsi" w:eastAsia="Century Gothic" w:hAnsiTheme="majorHAnsi" w:cstheme="majorHAnsi"/>
          <w:sz w:val="24"/>
          <w:szCs w:val="24"/>
          <w:highlight w:val="white"/>
        </w:rPr>
        <w:t xml:space="preserve"> Acta</w:t>
      </w:r>
      <w:r w:rsidR="00DE1E0A" w:rsidRPr="00187F26">
        <w:rPr>
          <w:rFonts w:asciiTheme="majorHAnsi" w:eastAsia="Century Gothic" w:hAnsiTheme="majorHAnsi" w:cstheme="majorHAnsi"/>
          <w:sz w:val="24"/>
          <w:szCs w:val="24"/>
          <w:highlight w:val="white"/>
        </w:rPr>
        <w:t>s</w:t>
      </w:r>
      <w:r w:rsidR="00C7658D" w:rsidRPr="00187F26">
        <w:rPr>
          <w:rFonts w:asciiTheme="majorHAnsi" w:eastAsia="Century Gothic" w:hAnsiTheme="majorHAnsi" w:cstheme="majorHAnsi"/>
          <w:sz w:val="24"/>
          <w:szCs w:val="24"/>
          <w:highlight w:val="white"/>
        </w:rPr>
        <w:t xml:space="preserve"> No. </w:t>
      </w:r>
      <w:r w:rsidR="00DE1E0A" w:rsidRPr="00187F26">
        <w:rPr>
          <w:rFonts w:asciiTheme="majorHAnsi" w:eastAsia="Century Gothic" w:hAnsiTheme="majorHAnsi" w:cstheme="majorHAnsi"/>
          <w:sz w:val="24"/>
          <w:szCs w:val="24"/>
          <w:highlight w:val="white"/>
        </w:rPr>
        <w:t>36 de sesión del 19 de marzo de 2025</w:t>
      </w:r>
      <w:r w:rsidR="00C7658D" w:rsidRPr="00187F26">
        <w:rPr>
          <w:rFonts w:asciiTheme="majorHAnsi" w:eastAsia="Century Gothic" w:hAnsiTheme="majorHAnsi" w:cstheme="majorHAnsi"/>
          <w:sz w:val="24"/>
          <w:szCs w:val="24"/>
          <w:highlight w:val="white"/>
        </w:rPr>
        <w:t>. Así mismo fue anunc</w:t>
      </w:r>
      <w:r w:rsidR="006E3F60" w:rsidRPr="00187F26">
        <w:rPr>
          <w:rFonts w:asciiTheme="majorHAnsi" w:eastAsia="Century Gothic" w:hAnsiTheme="majorHAnsi" w:cstheme="majorHAnsi"/>
          <w:sz w:val="24"/>
          <w:szCs w:val="24"/>
          <w:highlight w:val="white"/>
        </w:rPr>
        <w:t>i</w:t>
      </w:r>
      <w:r w:rsidR="00DE1E0A" w:rsidRPr="00187F26">
        <w:rPr>
          <w:rFonts w:asciiTheme="majorHAnsi" w:eastAsia="Century Gothic" w:hAnsiTheme="majorHAnsi" w:cstheme="majorHAnsi"/>
          <w:sz w:val="24"/>
          <w:szCs w:val="24"/>
          <w:highlight w:val="white"/>
        </w:rPr>
        <w:t>ado entre otras fechas</w:t>
      </w:r>
      <w:r w:rsidR="00F86683" w:rsidRPr="00187F26">
        <w:rPr>
          <w:rFonts w:asciiTheme="majorHAnsi" w:eastAsia="Century Gothic" w:hAnsiTheme="majorHAnsi" w:cstheme="majorHAnsi"/>
          <w:sz w:val="24"/>
          <w:szCs w:val="24"/>
          <w:highlight w:val="white"/>
        </w:rPr>
        <w:t>,</w:t>
      </w:r>
      <w:r w:rsidR="00DE1E0A" w:rsidRPr="00187F26">
        <w:rPr>
          <w:rFonts w:asciiTheme="majorHAnsi" w:eastAsia="Century Gothic" w:hAnsiTheme="majorHAnsi" w:cstheme="majorHAnsi"/>
          <w:sz w:val="24"/>
          <w:szCs w:val="24"/>
          <w:highlight w:val="white"/>
        </w:rPr>
        <w:t xml:space="preserve"> el día 12 de marzo de 2025, según consta en el Acta No. 35 de sesión de esa misma fecha</w:t>
      </w:r>
      <w:r w:rsidR="00C7658D" w:rsidRPr="00187F26">
        <w:rPr>
          <w:rFonts w:asciiTheme="majorHAnsi" w:eastAsia="Century Gothic" w:hAnsiTheme="majorHAnsi" w:cstheme="majorHAnsi"/>
          <w:sz w:val="24"/>
          <w:szCs w:val="24"/>
          <w:highlight w:val="white"/>
        </w:rPr>
        <w:t>.</w:t>
      </w:r>
    </w:p>
    <w:p w:rsidR="00E90D44" w:rsidRPr="00187F26" w:rsidRDefault="00E90D44" w:rsidP="00DD54E9">
      <w:pPr>
        <w:tabs>
          <w:tab w:val="left" w:pos="4678"/>
          <w:tab w:val="left" w:pos="5103"/>
        </w:tabs>
        <w:spacing w:after="0" w:line="240" w:lineRule="auto"/>
        <w:jc w:val="both"/>
        <w:rPr>
          <w:rFonts w:asciiTheme="majorHAnsi" w:eastAsia="Century Gothic" w:hAnsiTheme="majorHAnsi" w:cstheme="majorHAnsi"/>
          <w:b/>
          <w:sz w:val="24"/>
          <w:szCs w:val="24"/>
          <w:highlight w:val="white"/>
        </w:rPr>
      </w:pPr>
    </w:p>
    <w:p w:rsidR="00A92BE9" w:rsidRPr="00187F26" w:rsidRDefault="00A92BE9" w:rsidP="00C7658D">
      <w:pPr>
        <w:tabs>
          <w:tab w:val="left" w:pos="4678"/>
          <w:tab w:val="left" w:pos="5103"/>
        </w:tabs>
        <w:spacing w:after="0" w:line="240" w:lineRule="auto"/>
        <w:rPr>
          <w:rFonts w:asciiTheme="majorHAnsi" w:eastAsia="Century Gothic" w:hAnsiTheme="majorHAnsi" w:cstheme="majorHAnsi"/>
          <w:b/>
          <w:sz w:val="24"/>
          <w:szCs w:val="24"/>
          <w:highlight w:val="white"/>
        </w:rPr>
      </w:pPr>
    </w:p>
    <w:p w:rsidR="00A92BE9" w:rsidRPr="00187F26" w:rsidRDefault="00A92BE9" w:rsidP="00C7658D">
      <w:pPr>
        <w:tabs>
          <w:tab w:val="left" w:pos="4678"/>
          <w:tab w:val="left" w:pos="5103"/>
        </w:tabs>
        <w:spacing w:after="0" w:line="240" w:lineRule="auto"/>
        <w:rPr>
          <w:rFonts w:asciiTheme="majorHAnsi" w:eastAsia="Century Gothic" w:hAnsiTheme="majorHAnsi" w:cstheme="majorHAnsi"/>
          <w:b/>
          <w:sz w:val="24"/>
          <w:szCs w:val="24"/>
          <w:highlight w:val="white"/>
        </w:rPr>
      </w:pPr>
    </w:p>
    <w:p w:rsidR="00C7658D" w:rsidRPr="00187F26" w:rsidRDefault="00F86683" w:rsidP="00C7658D">
      <w:pPr>
        <w:tabs>
          <w:tab w:val="left" w:pos="4678"/>
          <w:tab w:val="left" w:pos="5103"/>
        </w:tabs>
        <w:spacing w:after="0" w:line="240" w:lineRule="auto"/>
        <w:rPr>
          <w:rFonts w:asciiTheme="majorHAnsi" w:eastAsia="Century Gothic" w:hAnsiTheme="majorHAnsi" w:cstheme="majorHAnsi"/>
          <w:b/>
          <w:sz w:val="24"/>
          <w:szCs w:val="24"/>
          <w:highlight w:val="white"/>
        </w:rPr>
      </w:pPr>
      <w:r w:rsidRPr="00187F26">
        <w:rPr>
          <w:rFonts w:asciiTheme="majorHAnsi" w:eastAsia="Century Gothic" w:hAnsiTheme="majorHAnsi" w:cstheme="majorHAnsi"/>
          <w:b/>
          <w:sz w:val="24"/>
          <w:szCs w:val="24"/>
          <w:highlight w:val="white"/>
        </w:rPr>
        <w:t>CARLOS ADOLFO ARDILA ESPINOSA</w:t>
      </w:r>
      <w:r w:rsidR="00C7658D" w:rsidRPr="00187F26">
        <w:rPr>
          <w:rFonts w:asciiTheme="majorHAnsi" w:eastAsia="Century Gothic" w:hAnsiTheme="majorHAnsi" w:cstheme="majorHAnsi"/>
          <w:b/>
          <w:sz w:val="24"/>
          <w:szCs w:val="24"/>
          <w:highlight w:val="white"/>
        </w:rPr>
        <w:tab/>
        <w:t>ANA PAOLA GARCÍA SOTO</w:t>
      </w:r>
    </w:p>
    <w:p w:rsidR="00C7658D" w:rsidRPr="00187F26" w:rsidRDefault="00A92BE9" w:rsidP="00C7658D">
      <w:pPr>
        <w:tabs>
          <w:tab w:val="left" w:pos="4678"/>
          <w:tab w:val="left" w:pos="5103"/>
        </w:tabs>
        <w:spacing w:after="0" w:line="240" w:lineRule="auto"/>
        <w:rPr>
          <w:rFonts w:asciiTheme="majorHAnsi" w:eastAsia="Century Gothic" w:hAnsiTheme="majorHAnsi" w:cstheme="majorHAnsi"/>
          <w:sz w:val="24"/>
          <w:szCs w:val="24"/>
          <w:highlight w:val="white"/>
        </w:rPr>
      </w:pPr>
      <w:r w:rsidRPr="00187F26">
        <w:rPr>
          <w:rFonts w:asciiTheme="majorHAnsi" w:eastAsia="Century Gothic" w:hAnsiTheme="majorHAnsi" w:cstheme="majorHAnsi"/>
          <w:sz w:val="24"/>
          <w:szCs w:val="24"/>
          <w:highlight w:val="white"/>
        </w:rPr>
        <w:t xml:space="preserve">Ponente </w:t>
      </w:r>
      <w:r w:rsidR="007042B0" w:rsidRPr="00187F26">
        <w:rPr>
          <w:rFonts w:asciiTheme="majorHAnsi" w:eastAsia="Century Gothic" w:hAnsiTheme="majorHAnsi" w:cstheme="majorHAnsi"/>
          <w:sz w:val="24"/>
          <w:szCs w:val="24"/>
          <w:highlight w:val="white"/>
        </w:rPr>
        <w:t>Coordinador</w:t>
      </w:r>
      <w:r w:rsidR="007042B0" w:rsidRPr="00187F26">
        <w:rPr>
          <w:rFonts w:asciiTheme="majorHAnsi" w:eastAsia="Century Gothic" w:hAnsiTheme="majorHAnsi" w:cstheme="majorHAnsi"/>
          <w:sz w:val="24"/>
          <w:szCs w:val="24"/>
          <w:highlight w:val="white"/>
        </w:rPr>
        <w:tab/>
        <w:t>Presidenta</w:t>
      </w:r>
      <w:r w:rsidR="00C7658D" w:rsidRPr="00187F26">
        <w:rPr>
          <w:rFonts w:asciiTheme="majorHAnsi" w:eastAsia="Century Gothic" w:hAnsiTheme="majorHAnsi" w:cstheme="majorHAnsi"/>
          <w:sz w:val="24"/>
          <w:szCs w:val="24"/>
          <w:highlight w:val="white"/>
        </w:rPr>
        <w:t xml:space="preserve"> </w:t>
      </w:r>
    </w:p>
    <w:p w:rsidR="00A92BE9" w:rsidRPr="00187F26" w:rsidRDefault="00A92BE9" w:rsidP="00A92BE9">
      <w:pPr>
        <w:tabs>
          <w:tab w:val="left" w:pos="4678"/>
          <w:tab w:val="left" w:pos="5103"/>
        </w:tabs>
        <w:spacing w:after="0" w:line="240" w:lineRule="auto"/>
        <w:rPr>
          <w:rFonts w:asciiTheme="majorHAnsi" w:eastAsia="Century Gothic" w:hAnsiTheme="majorHAnsi" w:cstheme="majorHAnsi"/>
          <w:sz w:val="24"/>
          <w:szCs w:val="24"/>
        </w:rPr>
      </w:pPr>
    </w:p>
    <w:p w:rsidR="00A92BE9" w:rsidRPr="00187F26" w:rsidRDefault="00A92BE9" w:rsidP="00A92BE9">
      <w:pPr>
        <w:tabs>
          <w:tab w:val="left" w:pos="4678"/>
          <w:tab w:val="left" w:pos="5103"/>
        </w:tabs>
        <w:spacing w:after="0" w:line="240" w:lineRule="auto"/>
        <w:rPr>
          <w:rFonts w:asciiTheme="majorHAnsi" w:eastAsia="Century Gothic" w:hAnsiTheme="majorHAnsi" w:cstheme="majorHAnsi"/>
          <w:sz w:val="24"/>
          <w:szCs w:val="24"/>
        </w:rPr>
      </w:pPr>
    </w:p>
    <w:p w:rsidR="00A92BE9" w:rsidRPr="00187F26" w:rsidRDefault="00A92BE9" w:rsidP="00A92BE9">
      <w:pPr>
        <w:tabs>
          <w:tab w:val="left" w:pos="4678"/>
          <w:tab w:val="left" w:pos="5103"/>
        </w:tabs>
        <w:spacing w:after="0" w:line="240" w:lineRule="auto"/>
        <w:rPr>
          <w:rFonts w:asciiTheme="majorHAnsi" w:eastAsia="Century Gothic" w:hAnsiTheme="majorHAnsi" w:cstheme="majorHAnsi"/>
          <w:sz w:val="24"/>
          <w:szCs w:val="24"/>
        </w:rPr>
      </w:pPr>
    </w:p>
    <w:p w:rsidR="00C7658D" w:rsidRPr="00187F26" w:rsidRDefault="007042B0" w:rsidP="00A92BE9">
      <w:pPr>
        <w:tabs>
          <w:tab w:val="left" w:pos="4678"/>
          <w:tab w:val="left" w:pos="5103"/>
        </w:tabs>
        <w:spacing w:after="0" w:line="240" w:lineRule="auto"/>
        <w:rPr>
          <w:rFonts w:asciiTheme="majorHAnsi" w:eastAsia="Century Gothic" w:hAnsiTheme="majorHAnsi" w:cstheme="majorHAnsi"/>
          <w:b/>
          <w:sz w:val="24"/>
          <w:szCs w:val="24"/>
        </w:rPr>
      </w:pPr>
      <w:r w:rsidRPr="00187F26">
        <w:rPr>
          <w:rFonts w:asciiTheme="majorHAnsi" w:eastAsia="Century Gothic" w:hAnsiTheme="majorHAnsi" w:cstheme="majorHAnsi"/>
          <w:b/>
          <w:sz w:val="24"/>
          <w:szCs w:val="24"/>
        </w:rPr>
        <w:t xml:space="preserve">                                   </w:t>
      </w:r>
      <w:r w:rsidR="00C7658D" w:rsidRPr="00187F26">
        <w:rPr>
          <w:rFonts w:asciiTheme="majorHAnsi" w:eastAsia="Century Gothic" w:hAnsiTheme="majorHAnsi" w:cstheme="majorHAnsi"/>
          <w:b/>
          <w:sz w:val="24"/>
          <w:szCs w:val="24"/>
        </w:rPr>
        <w:t>AMPARO YANETH CALDERON PERDOMO</w:t>
      </w:r>
    </w:p>
    <w:p w:rsidR="008C485F" w:rsidRPr="00187F26" w:rsidRDefault="007042B0" w:rsidP="00A92BE9">
      <w:pPr>
        <w:tabs>
          <w:tab w:val="left" w:pos="4678"/>
          <w:tab w:val="left" w:pos="5103"/>
        </w:tabs>
        <w:spacing w:after="0" w:line="240" w:lineRule="auto"/>
        <w:rPr>
          <w:rFonts w:asciiTheme="majorHAnsi" w:eastAsia="Arial Narrow" w:hAnsiTheme="majorHAnsi" w:cstheme="majorHAnsi"/>
          <w:color w:val="000000"/>
          <w:sz w:val="24"/>
          <w:szCs w:val="24"/>
        </w:rPr>
      </w:pPr>
      <w:r w:rsidRPr="00187F26">
        <w:rPr>
          <w:rFonts w:asciiTheme="majorHAnsi" w:eastAsia="Century Gothic" w:hAnsiTheme="majorHAnsi" w:cstheme="majorHAnsi"/>
          <w:sz w:val="24"/>
          <w:szCs w:val="24"/>
          <w:highlight w:val="white"/>
        </w:rPr>
        <w:t xml:space="preserve">                                                         </w:t>
      </w:r>
      <w:r w:rsidR="00C7658D" w:rsidRPr="00187F26">
        <w:rPr>
          <w:rFonts w:asciiTheme="majorHAnsi" w:eastAsia="Century Gothic" w:hAnsiTheme="majorHAnsi" w:cstheme="majorHAnsi"/>
          <w:sz w:val="24"/>
          <w:szCs w:val="24"/>
          <w:highlight w:val="white"/>
        </w:rPr>
        <w:t>Secretaria</w:t>
      </w:r>
    </w:p>
    <w:sectPr w:rsidR="008C485F" w:rsidRPr="00187F26"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B20" w:rsidRDefault="00C27B20" w:rsidP="002B77F9">
      <w:pPr>
        <w:spacing w:after="0" w:line="240" w:lineRule="auto"/>
      </w:pPr>
      <w:r>
        <w:separator/>
      </w:r>
    </w:p>
  </w:endnote>
  <w:endnote w:type="continuationSeparator" w:id="0">
    <w:p w:rsidR="00C27B20" w:rsidRDefault="00C27B20"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D2B23" w:rsidRPr="00F31B05" w:rsidRDefault="007D2B2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D2B23" w:rsidRPr="00CA7BFC" w:rsidRDefault="007D2B2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D2B23" w:rsidRDefault="007D2B2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B20" w:rsidRDefault="00C27B20" w:rsidP="002B77F9">
      <w:pPr>
        <w:spacing w:after="0" w:line="240" w:lineRule="auto"/>
      </w:pPr>
      <w:r>
        <w:separator/>
      </w:r>
    </w:p>
  </w:footnote>
  <w:footnote w:type="continuationSeparator" w:id="0">
    <w:p w:rsidR="00C27B20" w:rsidRDefault="00C27B20"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23" w:rsidRDefault="00C27B20" w:rsidP="00C72FDB">
    <w:pPr>
      <w:pStyle w:val="Encabezado"/>
      <w:jc w:val="center"/>
    </w:pPr>
    <w:sdt>
      <w:sdtPr>
        <w:id w:val="1036773030"/>
        <w:docPartObj>
          <w:docPartGallery w:val="Page Numbers (Margins)"/>
          <w:docPartUnique/>
        </w:docPartObj>
      </w:sdtPr>
      <w:sdtEndPr/>
      <w:sdtContent>
        <w:r w:rsidR="007D2B2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23" w:rsidRDefault="007D2B23">
                              <w:pPr>
                                <w:pBdr>
                                  <w:bottom w:val="single" w:sz="4" w:space="1" w:color="auto"/>
                                </w:pBdr>
                              </w:pPr>
                              <w:r>
                                <w:fldChar w:fldCharType="begin"/>
                              </w:r>
                              <w:r>
                                <w:instrText>PAGE   \* MERGEFORMAT</w:instrText>
                              </w:r>
                              <w:r>
                                <w:fldChar w:fldCharType="separate"/>
                              </w:r>
                              <w:r w:rsidR="004C367F" w:rsidRPr="004C367F">
                                <w:rPr>
                                  <w:noProof/>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D2B23" w:rsidRDefault="007D2B23">
                        <w:pPr>
                          <w:pBdr>
                            <w:bottom w:val="single" w:sz="4" w:space="1" w:color="auto"/>
                          </w:pBdr>
                        </w:pPr>
                        <w:r>
                          <w:fldChar w:fldCharType="begin"/>
                        </w:r>
                        <w:r>
                          <w:instrText>PAGE   \* MERGEFORMAT</w:instrText>
                        </w:r>
                        <w:r>
                          <w:fldChar w:fldCharType="separate"/>
                        </w:r>
                        <w:r w:rsidR="004C367F" w:rsidRPr="004C367F">
                          <w:rPr>
                            <w:noProof/>
                            <w:lang w:val="es-ES"/>
                          </w:rPr>
                          <w:t>2</w:t>
                        </w:r>
                        <w:r>
                          <w:fldChar w:fldCharType="end"/>
                        </w:r>
                      </w:p>
                    </w:txbxContent>
                  </v:textbox>
                  <w10:wrap anchorx="margin" anchory="margin"/>
                </v:rect>
              </w:pict>
            </mc:Fallback>
          </mc:AlternateContent>
        </w:r>
      </w:sdtContent>
    </w:sdt>
    <w:r w:rsidR="007D2B2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D2B23" w:rsidRDefault="007D2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1"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14"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7"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8"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12"/>
  </w:num>
  <w:num w:numId="4">
    <w:abstractNumId w:val="1"/>
  </w:num>
  <w:num w:numId="5">
    <w:abstractNumId w:val="2"/>
  </w:num>
  <w:num w:numId="6">
    <w:abstractNumId w:val="7"/>
  </w:num>
  <w:num w:numId="7">
    <w:abstractNumId w:val="0"/>
  </w:num>
  <w:num w:numId="8">
    <w:abstractNumId w:val="19"/>
  </w:num>
  <w:num w:numId="9">
    <w:abstractNumId w:val="9"/>
  </w:num>
  <w:num w:numId="10">
    <w:abstractNumId w:val="15"/>
  </w:num>
  <w:num w:numId="11">
    <w:abstractNumId w:val="30"/>
  </w:num>
  <w:num w:numId="12">
    <w:abstractNumId w:val="22"/>
  </w:num>
  <w:num w:numId="13">
    <w:abstractNumId w:val="29"/>
  </w:num>
  <w:num w:numId="14">
    <w:abstractNumId w:val="20"/>
  </w:num>
  <w:num w:numId="15">
    <w:abstractNumId w:val="18"/>
  </w:num>
  <w:num w:numId="16">
    <w:abstractNumId w:val="25"/>
  </w:num>
  <w:num w:numId="17">
    <w:abstractNumId w:val="17"/>
  </w:num>
  <w:num w:numId="18">
    <w:abstractNumId w:val="3"/>
  </w:num>
  <w:num w:numId="19">
    <w:abstractNumId w:val="4"/>
  </w:num>
  <w:num w:numId="20">
    <w:abstractNumId w:val="26"/>
  </w:num>
  <w:num w:numId="21">
    <w:abstractNumId w:val="23"/>
  </w:num>
  <w:num w:numId="22">
    <w:abstractNumId w:val="21"/>
  </w:num>
  <w:num w:numId="23">
    <w:abstractNumId w:val="16"/>
  </w:num>
  <w:num w:numId="24">
    <w:abstractNumId w:val="28"/>
  </w:num>
  <w:num w:numId="25">
    <w:abstractNumId w:val="11"/>
  </w:num>
  <w:num w:numId="26">
    <w:abstractNumId w:val="24"/>
  </w:num>
  <w:num w:numId="27">
    <w:abstractNumId w:val="6"/>
  </w:num>
  <w:num w:numId="28">
    <w:abstractNumId w:val="27"/>
  </w:num>
  <w:num w:numId="29">
    <w:abstractNumId w:val="10"/>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0B431C"/>
    <w:rsid w:val="000B7306"/>
    <w:rsid w:val="001066C3"/>
    <w:rsid w:val="00130B13"/>
    <w:rsid w:val="00187F26"/>
    <w:rsid w:val="0019687F"/>
    <w:rsid w:val="001A730E"/>
    <w:rsid w:val="001B59F5"/>
    <w:rsid w:val="001C02DA"/>
    <w:rsid w:val="001D46E7"/>
    <w:rsid w:val="001F1108"/>
    <w:rsid w:val="001F2372"/>
    <w:rsid w:val="001F4B8D"/>
    <w:rsid w:val="00205249"/>
    <w:rsid w:val="00210E09"/>
    <w:rsid w:val="002227A1"/>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F05"/>
    <w:rsid w:val="003873C2"/>
    <w:rsid w:val="00387BD8"/>
    <w:rsid w:val="00393CA3"/>
    <w:rsid w:val="00394EAC"/>
    <w:rsid w:val="003B0401"/>
    <w:rsid w:val="003C4239"/>
    <w:rsid w:val="003F126E"/>
    <w:rsid w:val="003F5C5D"/>
    <w:rsid w:val="003F7B98"/>
    <w:rsid w:val="003F7F52"/>
    <w:rsid w:val="0043525D"/>
    <w:rsid w:val="00436F33"/>
    <w:rsid w:val="00463B62"/>
    <w:rsid w:val="00464F6C"/>
    <w:rsid w:val="004730CF"/>
    <w:rsid w:val="00485F9F"/>
    <w:rsid w:val="0049097B"/>
    <w:rsid w:val="004C0174"/>
    <w:rsid w:val="004C05B3"/>
    <w:rsid w:val="004C367F"/>
    <w:rsid w:val="004C57E9"/>
    <w:rsid w:val="004C5D69"/>
    <w:rsid w:val="004D4AE0"/>
    <w:rsid w:val="004D759E"/>
    <w:rsid w:val="00511ED4"/>
    <w:rsid w:val="00514173"/>
    <w:rsid w:val="00520C0E"/>
    <w:rsid w:val="00531BD8"/>
    <w:rsid w:val="0054460A"/>
    <w:rsid w:val="00546013"/>
    <w:rsid w:val="0054784F"/>
    <w:rsid w:val="00554A09"/>
    <w:rsid w:val="005648D5"/>
    <w:rsid w:val="00566713"/>
    <w:rsid w:val="0057315F"/>
    <w:rsid w:val="00592B55"/>
    <w:rsid w:val="005A2CA1"/>
    <w:rsid w:val="005B4CE4"/>
    <w:rsid w:val="005C604F"/>
    <w:rsid w:val="005D4583"/>
    <w:rsid w:val="005D4CF6"/>
    <w:rsid w:val="005E17D9"/>
    <w:rsid w:val="00615662"/>
    <w:rsid w:val="00617D5F"/>
    <w:rsid w:val="006263B1"/>
    <w:rsid w:val="006466D3"/>
    <w:rsid w:val="00651F09"/>
    <w:rsid w:val="00657E26"/>
    <w:rsid w:val="006729F8"/>
    <w:rsid w:val="006842AA"/>
    <w:rsid w:val="00685C7B"/>
    <w:rsid w:val="006A433F"/>
    <w:rsid w:val="006A6080"/>
    <w:rsid w:val="006C2025"/>
    <w:rsid w:val="006E2C22"/>
    <w:rsid w:val="006E3F60"/>
    <w:rsid w:val="006F5535"/>
    <w:rsid w:val="007042B0"/>
    <w:rsid w:val="007118F9"/>
    <w:rsid w:val="00740FC1"/>
    <w:rsid w:val="00741F4B"/>
    <w:rsid w:val="007523F7"/>
    <w:rsid w:val="00752442"/>
    <w:rsid w:val="00762CE9"/>
    <w:rsid w:val="00767102"/>
    <w:rsid w:val="00770A1E"/>
    <w:rsid w:val="00784634"/>
    <w:rsid w:val="00791199"/>
    <w:rsid w:val="007A27BF"/>
    <w:rsid w:val="007A64EA"/>
    <w:rsid w:val="007C1176"/>
    <w:rsid w:val="007C2835"/>
    <w:rsid w:val="007C791A"/>
    <w:rsid w:val="007D2B23"/>
    <w:rsid w:val="007F02A1"/>
    <w:rsid w:val="0081409F"/>
    <w:rsid w:val="00820746"/>
    <w:rsid w:val="00820AC5"/>
    <w:rsid w:val="008214EF"/>
    <w:rsid w:val="0083563E"/>
    <w:rsid w:val="008356FB"/>
    <w:rsid w:val="00836D1A"/>
    <w:rsid w:val="00864666"/>
    <w:rsid w:val="00864E81"/>
    <w:rsid w:val="008948A9"/>
    <w:rsid w:val="008C0270"/>
    <w:rsid w:val="008C485F"/>
    <w:rsid w:val="008C4F3D"/>
    <w:rsid w:val="008C5463"/>
    <w:rsid w:val="008C5C63"/>
    <w:rsid w:val="008D5251"/>
    <w:rsid w:val="008D78C3"/>
    <w:rsid w:val="008F3182"/>
    <w:rsid w:val="009230CE"/>
    <w:rsid w:val="00923E69"/>
    <w:rsid w:val="00930B4E"/>
    <w:rsid w:val="0093261F"/>
    <w:rsid w:val="009338BD"/>
    <w:rsid w:val="00971B33"/>
    <w:rsid w:val="00980BCD"/>
    <w:rsid w:val="00986396"/>
    <w:rsid w:val="009927DB"/>
    <w:rsid w:val="00993253"/>
    <w:rsid w:val="0099350E"/>
    <w:rsid w:val="00993DA6"/>
    <w:rsid w:val="009A138B"/>
    <w:rsid w:val="009A58FC"/>
    <w:rsid w:val="009B67AC"/>
    <w:rsid w:val="009C12A5"/>
    <w:rsid w:val="009F327E"/>
    <w:rsid w:val="009F5598"/>
    <w:rsid w:val="00A25E23"/>
    <w:rsid w:val="00A43CC7"/>
    <w:rsid w:val="00A45EAE"/>
    <w:rsid w:val="00A46D79"/>
    <w:rsid w:val="00A75B7B"/>
    <w:rsid w:val="00A75CDA"/>
    <w:rsid w:val="00A872C8"/>
    <w:rsid w:val="00A92BE9"/>
    <w:rsid w:val="00A93F0E"/>
    <w:rsid w:val="00A952CD"/>
    <w:rsid w:val="00A95D13"/>
    <w:rsid w:val="00AA243C"/>
    <w:rsid w:val="00AB14CD"/>
    <w:rsid w:val="00AD3B2D"/>
    <w:rsid w:val="00AE692D"/>
    <w:rsid w:val="00AF36DE"/>
    <w:rsid w:val="00AF7024"/>
    <w:rsid w:val="00AF764F"/>
    <w:rsid w:val="00B01CAB"/>
    <w:rsid w:val="00B1158E"/>
    <w:rsid w:val="00B17EFD"/>
    <w:rsid w:val="00B445A7"/>
    <w:rsid w:val="00B45F28"/>
    <w:rsid w:val="00B60DFC"/>
    <w:rsid w:val="00BB52F2"/>
    <w:rsid w:val="00BC47DE"/>
    <w:rsid w:val="00BD4141"/>
    <w:rsid w:val="00BD5A9F"/>
    <w:rsid w:val="00C0765C"/>
    <w:rsid w:val="00C14E17"/>
    <w:rsid w:val="00C27B20"/>
    <w:rsid w:val="00C41881"/>
    <w:rsid w:val="00C421C4"/>
    <w:rsid w:val="00C5586A"/>
    <w:rsid w:val="00C72FDB"/>
    <w:rsid w:val="00C74091"/>
    <w:rsid w:val="00C74871"/>
    <w:rsid w:val="00C7658D"/>
    <w:rsid w:val="00C81DC9"/>
    <w:rsid w:val="00C90D70"/>
    <w:rsid w:val="00C91D4B"/>
    <w:rsid w:val="00CA1400"/>
    <w:rsid w:val="00CF4523"/>
    <w:rsid w:val="00CF6F6C"/>
    <w:rsid w:val="00D012A0"/>
    <w:rsid w:val="00D06595"/>
    <w:rsid w:val="00D25E1A"/>
    <w:rsid w:val="00D33DBE"/>
    <w:rsid w:val="00D365ED"/>
    <w:rsid w:val="00D42340"/>
    <w:rsid w:val="00D87E48"/>
    <w:rsid w:val="00D911EB"/>
    <w:rsid w:val="00DB22F4"/>
    <w:rsid w:val="00DB30E5"/>
    <w:rsid w:val="00DB4E51"/>
    <w:rsid w:val="00DC15B5"/>
    <w:rsid w:val="00DC757E"/>
    <w:rsid w:val="00DD54E9"/>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6A69"/>
    <w:rsid w:val="00E7734E"/>
    <w:rsid w:val="00E81991"/>
    <w:rsid w:val="00E846BD"/>
    <w:rsid w:val="00E90D44"/>
    <w:rsid w:val="00ED1DD7"/>
    <w:rsid w:val="00F003FA"/>
    <w:rsid w:val="00F076AA"/>
    <w:rsid w:val="00F1201D"/>
    <w:rsid w:val="00F13684"/>
    <w:rsid w:val="00F20DA4"/>
    <w:rsid w:val="00F22E0C"/>
    <w:rsid w:val="00F27207"/>
    <w:rsid w:val="00F3400C"/>
    <w:rsid w:val="00F418EE"/>
    <w:rsid w:val="00F43BBF"/>
    <w:rsid w:val="00F5565A"/>
    <w:rsid w:val="00F82B12"/>
    <w:rsid w:val="00F86683"/>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A8EF1"/>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E00B-6A7F-4B9C-AC54-6D57975D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9</cp:revision>
  <cp:lastPrinted>2025-03-20T16:44:00Z</cp:lastPrinted>
  <dcterms:created xsi:type="dcterms:W3CDTF">2025-03-19T20:44:00Z</dcterms:created>
  <dcterms:modified xsi:type="dcterms:W3CDTF">2025-03-20T16:46:00Z</dcterms:modified>
</cp:coreProperties>
</file>